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000000" w:rsidRDefault="00047CFF">
      <w:pPr>
        <w:pStyle w:val="Naslov2"/>
        <w:rPr>
          <w:rFonts w:ascii="Times New Roman" w:hAnsi="Times New Roman"/>
          <w:caps/>
          <w:sz w:val="32"/>
          <w:szCs w:val="32"/>
        </w:rPr>
      </w:pPr>
      <w:bookmarkStart w:id="0" w:name="_GoBack"/>
      <w:bookmarkEnd w:id="0"/>
      <w:r>
        <w:rPr>
          <w:rFonts w:ascii="Times New Roman" w:hAnsi="Times New Roman"/>
          <w:caps/>
          <w:sz w:val="32"/>
          <w:szCs w:val="32"/>
        </w:rPr>
        <w:t>4.1. katalog znanja</w:t>
      </w:r>
    </w:p>
    <w:p w:rsidR="00000000" w:rsidRDefault="00047CFF">
      <w:pPr>
        <w:rPr>
          <w:sz w:val="24"/>
          <w:szCs w:val="24"/>
        </w:rPr>
      </w:pPr>
    </w:p>
    <w:p w:rsidR="00000000" w:rsidRDefault="00047CFF">
      <w:pPr>
        <w:pStyle w:val="Naslov2"/>
        <w:tabs>
          <w:tab w:val="clear" w:pos="227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IME MODULA: EKONOMIKA</w:t>
      </w:r>
    </w:p>
    <w:p w:rsidR="00000000" w:rsidRDefault="00047CFF">
      <w:pPr>
        <w:ind w:left="1080"/>
        <w:rPr>
          <w:sz w:val="24"/>
          <w:szCs w:val="24"/>
        </w:rPr>
      </w:pPr>
    </w:p>
    <w:p w:rsidR="00000000" w:rsidRDefault="00047CFF">
      <w:pPr>
        <w:pStyle w:val="Naslov2"/>
        <w:tabs>
          <w:tab w:val="clear" w:pos="227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USMERJEVALNI CILJI</w:t>
      </w:r>
    </w:p>
    <w:p w:rsidR="00000000" w:rsidRDefault="00047CFF">
      <w:pPr>
        <w:ind w:left="360"/>
        <w:rPr>
          <w:sz w:val="24"/>
          <w:szCs w:val="24"/>
        </w:rPr>
      </w:pPr>
      <w:r>
        <w:rPr>
          <w:sz w:val="24"/>
          <w:szCs w:val="24"/>
        </w:rPr>
        <w:t>Dijak: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 inovativnost,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 sistematičnost, vztrajnost in natančnost pri delu,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 sposobnost logičnega mišljenja,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 podjetniške lastnosti in spretnosti ter sposobnost t</w:t>
      </w:r>
      <w:r>
        <w:rPr>
          <w:sz w:val="24"/>
          <w:szCs w:val="24"/>
        </w:rPr>
        <w:t>imskega dela,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razvija pripravljenost za vseživljenjsko učenje,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uporablja sodobne informacijsko komunikacijske vire,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obvlada strokovno izrazoslovje,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rešuje probleme sklepnega, razdelilnega, procentnega in obrestnega računa v ekonomski praksi,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spozna organiz</w:t>
      </w:r>
      <w:r>
        <w:rPr>
          <w:sz w:val="24"/>
          <w:szCs w:val="24"/>
        </w:rPr>
        <w:t>acijo računovodskih služb,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uporablja temeljno računovodsko dokumentacijo,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knjiži poslovne dogodke,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razporeja dosežen rezultat poslovanja,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izračuna osnovne kazalce uspešnosti poslovanja podjetja,</w:t>
      </w:r>
    </w:p>
    <w:p w:rsidR="00000000" w:rsidRDefault="00047CFF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analizira računovodske podatke in poslovanje podjetja.</w:t>
      </w:r>
    </w:p>
    <w:p w:rsidR="00000000" w:rsidRDefault="00047CFF">
      <w:pPr>
        <w:ind w:left="454"/>
        <w:rPr>
          <w:sz w:val="24"/>
          <w:szCs w:val="24"/>
        </w:rPr>
      </w:pPr>
    </w:p>
    <w:p w:rsidR="00000000" w:rsidRDefault="00047CFF">
      <w:pPr>
        <w:ind w:left="454"/>
        <w:rPr>
          <w:sz w:val="24"/>
          <w:szCs w:val="24"/>
          <w:shd w:val="clear" w:color="auto" w:fill="FFFF00"/>
        </w:rPr>
      </w:pPr>
    </w:p>
    <w:p w:rsidR="00000000" w:rsidRDefault="00047CFF">
      <w:pPr>
        <w:pStyle w:val="Naslov2"/>
        <w:tabs>
          <w:tab w:val="clear" w:pos="227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2.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VSEBINSKI SKLOPI</w:t>
      </w:r>
    </w:p>
    <w:p w:rsidR="00000000" w:rsidRDefault="00047CFF">
      <w:pPr>
        <w:ind w:left="454"/>
        <w:rPr>
          <w:sz w:val="24"/>
          <w:szCs w:val="24"/>
        </w:rPr>
      </w:pPr>
      <w:r>
        <w:rPr>
          <w:sz w:val="24"/>
          <w:szCs w:val="24"/>
        </w:rPr>
        <w:t>Modul ni sestavljen iz vsebinskih sklopov.</w:t>
      </w:r>
    </w:p>
    <w:p w:rsidR="00000000" w:rsidRDefault="00047CFF">
      <w:pPr>
        <w:ind w:left="454"/>
        <w:rPr>
          <w:sz w:val="24"/>
          <w:szCs w:val="24"/>
        </w:rPr>
      </w:pPr>
    </w:p>
    <w:p w:rsidR="00000000" w:rsidRDefault="00047CFF">
      <w:pPr>
        <w:pStyle w:val="SlogNaslov2Tahoma"/>
        <w:spacing w:before="120" w:after="0"/>
        <w:ind w:left="437"/>
        <w:rPr>
          <w:rFonts w:ascii="Times New Roman" w:hAnsi="Times New Roman"/>
          <w:szCs w:val="24"/>
        </w:rPr>
      </w:pPr>
    </w:p>
    <w:p w:rsidR="00000000" w:rsidRDefault="00047CFF">
      <w:pPr>
        <w:pStyle w:val="Naslov2"/>
        <w:tabs>
          <w:tab w:val="clear" w:pos="227"/>
        </w:tabs>
        <w:ind w:left="540" w:hanging="54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  <w:t>OPERATIVNI CILJI</w:t>
      </w:r>
    </w:p>
    <w:p w:rsidR="00000000" w:rsidRDefault="00047CFF">
      <w:pPr>
        <w:rPr>
          <w:b/>
          <w:sz w:val="24"/>
          <w:szCs w:val="24"/>
        </w:rPr>
      </w:pPr>
    </w:p>
    <w:p w:rsidR="00000000" w:rsidRDefault="00047CFF">
      <w:pPr>
        <w:ind w:left="454"/>
        <w:rPr>
          <w:b/>
          <w:sz w:val="24"/>
          <w:szCs w:val="24"/>
        </w:rPr>
      </w:pPr>
      <w:r>
        <w:rPr>
          <w:b/>
          <w:sz w:val="24"/>
          <w:szCs w:val="24"/>
        </w:rPr>
        <w:t>Poklicne kompetence</w:t>
      </w:r>
    </w:p>
    <w:p w:rsidR="00000000" w:rsidRDefault="00047CFF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reševanje problemov s področja sklepnega, razdelilnega, procentnega in obrestnega računa </w:t>
      </w:r>
    </w:p>
    <w:p w:rsidR="00000000" w:rsidRDefault="00047CFF">
      <w:pPr>
        <w:numPr>
          <w:ilvl w:val="0"/>
          <w:numId w:val="2"/>
        </w:numPr>
        <w:tabs>
          <w:tab w:val="clear" w:pos="1060"/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uporabljanje in obvladovanje temeljnih pojmov in razumevan</w:t>
      </w:r>
      <w:r>
        <w:rPr>
          <w:sz w:val="24"/>
          <w:szCs w:val="24"/>
        </w:rPr>
        <w:t>je ustreznih predpisov in standardov s področja računovodstva,</w:t>
      </w:r>
    </w:p>
    <w:p w:rsidR="00000000" w:rsidRDefault="00047CFF">
      <w:pPr>
        <w:numPr>
          <w:ilvl w:val="0"/>
          <w:numId w:val="2"/>
        </w:numPr>
        <w:tabs>
          <w:tab w:val="clear" w:pos="1060"/>
          <w:tab w:val="left" w:pos="1068"/>
        </w:tabs>
        <w:ind w:left="1048"/>
        <w:rPr>
          <w:sz w:val="24"/>
          <w:szCs w:val="24"/>
        </w:rPr>
      </w:pPr>
      <w:r>
        <w:rPr>
          <w:sz w:val="24"/>
          <w:szCs w:val="24"/>
        </w:rPr>
        <w:t>poznavanje ustreznih računovodskih informacij za notranje in zunanje uporabnike ter temeljne dokumentacije in njene obdelave.</w:t>
      </w:r>
    </w:p>
    <w:p w:rsidR="00000000" w:rsidRDefault="00047CFF">
      <w:pPr>
        <w:rPr>
          <w:sz w:val="24"/>
          <w:szCs w:val="24"/>
        </w:rPr>
      </w:pPr>
    </w:p>
    <w:p w:rsidR="00000000" w:rsidRDefault="00047CFF">
      <w:pPr>
        <w:rPr>
          <w:sz w:val="24"/>
          <w:szCs w:val="24"/>
        </w:rPr>
      </w:pPr>
    </w:p>
    <w:tbl>
      <w:tblPr>
        <w:tblW w:w="0" w:type="auto"/>
        <w:tblInd w:w="-1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77"/>
        <w:gridCol w:w="5294"/>
      </w:tblGrid>
      <w:tr w:rsidR="00000000">
        <w:trPr>
          <w:trHeight w:hRule="exact" w:val="454"/>
          <w:tblHeader/>
        </w:trPr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00000" w:rsidRDefault="00047CF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Informativni cilji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00000" w:rsidRDefault="00047CFF">
            <w:pPr>
              <w:snapToGrid w:val="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Formativni cilji</w:t>
            </w:r>
          </w:p>
        </w:tc>
      </w:tr>
      <w:tr w:rsidR="00000000">
        <w:tc>
          <w:tcPr>
            <w:tcW w:w="4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00000" w:rsidRDefault="00047C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Dijak: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29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metode za rešev</w:t>
            </w:r>
            <w:r>
              <w:rPr>
                <w:sz w:val="24"/>
                <w:szCs w:val="24"/>
              </w:rPr>
              <w:t xml:space="preserve">anje </w:t>
            </w:r>
            <w:r>
              <w:rPr>
                <w:sz w:val="24"/>
                <w:szCs w:val="24"/>
              </w:rPr>
              <w:lastRenderedPageBreak/>
              <w:t>nalog, enostavnega in sestavljenega sklepnega  računa,</w:t>
            </w:r>
          </w:p>
          <w:p w:rsidR="00000000" w:rsidRDefault="00047CFF">
            <w:pPr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vsebino tečajne liste,</w:t>
            </w:r>
          </w:p>
          <w:p w:rsidR="00000000" w:rsidRDefault="00047CFF">
            <w:pPr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med različnimi možnimi »ključi« za delitev delilne mase med upravičence,</w:t>
            </w:r>
          </w:p>
          <w:p w:rsidR="00000000" w:rsidRDefault="00047CFF">
            <w:pPr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različne možnosti reševanja problemov procentnega računa,</w:t>
            </w:r>
          </w:p>
          <w:p w:rsidR="00000000" w:rsidRDefault="00047CFF">
            <w:pPr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osnovne k</w:t>
            </w:r>
            <w:r>
              <w:rPr>
                <w:sz w:val="24"/>
                <w:szCs w:val="24"/>
              </w:rPr>
              <w:t xml:space="preserve">oličine obrestnega  računa,     </w:t>
            </w:r>
          </w:p>
          <w:p w:rsidR="00000000" w:rsidRDefault="00047CFF">
            <w:pPr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vsebinsko razliko med navadnim in obrestnim obrestovanjem,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pozna računovodske informacije in</w:t>
            </w:r>
          </w:p>
          <w:p w:rsidR="00000000" w:rsidRDefault="00047CFF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njihove uporabnike,</w:t>
            </w:r>
          </w:p>
          <w:p w:rsidR="00000000" w:rsidRDefault="00047CFF">
            <w:pPr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računovodskih informacij,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razlikuje vrste evidenc in tehnike,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premoženje podje</w:t>
            </w:r>
            <w:r>
              <w:rPr>
                <w:sz w:val="24"/>
                <w:szCs w:val="24"/>
              </w:rPr>
              <w:t>tja,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vire premoženja,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vrste kontov,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nauči se osnovnih pravil knjiženja na </w:t>
            </w:r>
          </w:p>
          <w:p w:rsidR="00000000" w:rsidRDefault="00047CFF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konte stanja,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kontni načrt,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nauči se osnove kontiranja,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bilančne spremembe,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zbirnih in posameznih</w:t>
            </w:r>
          </w:p>
          <w:p w:rsidR="00000000" w:rsidRDefault="00047CFF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informacij,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različne knjigovodske l</w:t>
            </w:r>
            <w:r>
              <w:rPr>
                <w:sz w:val="24"/>
                <w:szCs w:val="24"/>
              </w:rPr>
              <w:t>istine</w:t>
            </w:r>
          </w:p>
          <w:p w:rsidR="00000000" w:rsidRDefault="00047CFF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in poslovne knjige,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pojem potroška, stroška,</w:t>
            </w:r>
          </w:p>
          <w:p w:rsidR="00000000" w:rsidRDefault="00047CFF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izdatka, odhodka,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našteje različne vrste stroškov</w:t>
            </w:r>
          </w:p>
          <w:p w:rsidR="00000000" w:rsidRDefault="00047CFF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>
              <w:rPr>
                <w:sz w:val="24"/>
                <w:szCs w:val="24"/>
              </w:rPr>
              <w:t>poslovanja,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pozna pomen stroškov za podjetje,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70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loči metode kalkulacije lastne cene,</w:t>
            </w:r>
          </w:p>
          <w:p w:rsidR="00000000" w:rsidRDefault="00047CFF">
            <w:pPr>
              <w:ind w:left="20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</w:t>
            </w:r>
            <w:r>
              <w:rPr>
                <w:sz w:val="24"/>
                <w:szCs w:val="24"/>
              </w:rPr>
              <w:t>izdelka ali storitve,</w:t>
            </w:r>
          </w:p>
          <w:p w:rsidR="00000000" w:rsidRDefault="00047CFF">
            <w:pPr>
              <w:numPr>
                <w:ilvl w:val="0"/>
                <w:numId w:val="2"/>
              </w:numPr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pozna različne možnosti </w:t>
            </w:r>
            <w:r>
              <w:rPr>
                <w:sz w:val="24"/>
                <w:szCs w:val="24"/>
              </w:rPr>
              <w:t>oblikovanja prodajnih cen,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36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razume pojem prihodkov in odhodkov,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436"/>
              </w:tabs>
              <w:ind w:left="5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uspešnost poslovanja in izkaz uspeha.</w:t>
            </w:r>
          </w:p>
        </w:tc>
        <w:tc>
          <w:tcPr>
            <w:tcW w:w="52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00000" w:rsidRDefault="00047CFF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Dijak: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rešuje  enostavne in sestavljene sklepne račune,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upošteva enega ali več delilnih kriterijev in delilno maso razdeli med upravičence,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rešuje</w:t>
            </w:r>
            <w:r>
              <w:rPr>
                <w:sz w:val="24"/>
                <w:szCs w:val="24"/>
              </w:rPr>
              <w:t xml:space="preserve"> probleme procentnega računa,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neznano obrestno količino iz znanih obrestnih količin pri predpostavki navadnega obrestovanja,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neznano obrestno količino iz znanih obrestnih količin pri predpostavki dekurzivnega in anticipativnega obrestnega</w:t>
            </w:r>
            <w:r>
              <w:rPr>
                <w:sz w:val="24"/>
                <w:szCs w:val="24"/>
              </w:rPr>
              <w:t xml:space="preserve"> obrestovanja,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opredeli potrebo po računovodskih evidencah,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različne tehnike evidentiranja,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različne vrste sredstev in virov sredstev,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kapital in dolgove podjetja,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strukturo sredstev in virov,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bilanco stanja,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opred</w:t>
            </w:r>
            <w:r>
              <w:rPr>
                <w:sz w:val="24"/>
                <w:szCs w:val="24"/>
              </w:rPr>
              <w:t>eli posamezni konto,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razloži na kontu evidentirane spremembe in njegovo stanje,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knjiži in evidentira osnovne poslovne dogodke,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analizira povezanost bilance stanja s konti,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uporablja analitične konte,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sestavi temeljne knjigovodske listine,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ugotavlja pomen s</w:t>
            </w:r>
            <w:r>
              <w:rPr>
                <w:sz w:val="24"/>
                <w:szCs w:val="24"/>
              </w:rPr>
              <w:t>troškov za poslovanje,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grafično predstavi odnos med stalnimi,   </w:t>
            </w:r>
          </w:p>
          <w:p w:rsidR="00000000" w:rsidRDefault="0004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 xml:space="preserve">spremenljivimi, celotnimi, mejnimi in </w:t>
            </w:r>
          </w:p>
          <w:p w:rsidR="00000000" w:rsidRDefault="0004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povprečnimi stroški,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določi optimalni obseg proizvodnje in točko preloma (prag rentabilnosti) poslovanja,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letno amortizacije, upošt</w:t>
            </w:r>
            <w:r>
              <w:rPr>
                <w:sz w:val="24"/>
                <w:szCs w:val="24"/>
              </w:rPr>
              <w:t>evaje različne metode amortiziranja,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knjiži stroške na stroškovne konte in konte stanja,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izračuna lastno ceno izdelka ali storitve,</w:t>
            </w:r>
          </w:p>
          <w:p w:rsidR="00000000" w:rsidRDefault="00047CF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>
              <w:rPr>
                <w:sz w:val="24"/>
                <w:szCs w:val="24"/>
              </w:rPr>
              <w:t>upoštevaje različne metode kalkulacije,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knjiži prihodke in odhodke in ugotovi uspešnost poslovanja podjetja,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izdela i</w:t>
            </w:r>
            <w:r>
              <w:rPr>
                <w:sz w:val="24"/>
                <w:szCs w:val="24"/>
              </w:rPr>
              <w:t>zkaz uspeha podjetja,</w:t>
            </w:r>
          </w:p>
          <w:p w:rsidR="00000000" w:rsidRDefault="00047CFF">
            <w:pPr>
              <w:numPr>
                <w:ilvl w:val="0"/>
                <w:numId w:val="2"/>
              </w:numPr>
              <w:tabs>
                <w:tab w:val="left" w:pos="360"/>
              </w:tabs>
              <w:ind w:left="3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izračuna in obrazloži kazalce uspešnosti gospodarjenja.</w:t>
            </w:r>
          </w:p>
          <w:p w:rsidR="00000000" w:rsidRDefault="00047CFF">
            <w:pPr>
              <w:tabs>
                <w:tab w:val="left" w:pos="720"/>
                <w:tab w:val="left" w:pos="1620"/>
              </w:tabs>
              <w:jc w:val="both"/>
            </w:pPr>
          </w:p>
        </w:tc>
      </w:tr>
    </w:tbl>
    <w:p w:rsidR="00047CFF" w:rsidRDefault="00047CFF">
      <w:pPr>
        <w:pStyle w:val="Naslov2"/>
      </w:pPr>
    </w:p>
    <w:sectPr w:rsidR="00047CFF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CFF" w:rsidRDefault="00047CFF">
      <w:r>
        <w:separator/>
      </w:r>
    </w:p>
  </w:endnote>
  <w:endnote w:type="continuationSeparator" w:id="0">
    <w:p w:rsidR="00047CFF" w:rsidRDefault="00047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7CFF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5A2EE0">
    <w:pPr>
      <w:pStyle w:val="Noga"/>
      <w:ind w:right="360"/>
      <w:rPr>
        <w:sz w:val="20"/>
      </w:rPr>
    </w:pPr>
    <w:r>
      <w:rPr>
        <w:noProof/>
        <w:lang w:eastAsia="sl-SI"/>
      </w:rPr>
      <mc:AlternateContent>
        <mc:Choice Requires="wps">
          <w:drawing>
            <wp:anchor distT="0" distB="0" distL="0" distR="0" simplePos="0" relativeHeight="251657728" behindDoc="0" locked="0" layoutInCell="1" allowOverlap="1">
              <wp:simplePos x="0" y="0"/>
              <wp:positionH relativeFrom="page">
                <wp:posOffset>6589395</wp:posOffset>
              </wp:positionH>
              <wp:positionV relativeFrom="paragraph">
                <wp:posOffset>635</wp:posOffset>
              </wp:positionV>
              <wp:extent cx="68580" cy="158750"/>
              <wp:effectExtent l="7620" t="635" r="0" b="254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80" cy="1587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047CFF">
                          <w:pPr>
                            <w:pStyle w:val="Noga"/>
                          </w:pPr>
                          <w:r>
                            <w:rPr>
                              <w:rStyle w:val="tevilkastrani"/>
                            </w:rPr>
                            <w:fldChar w:fldCharType="begin"/>
                          </w:r>
                          <w:r>
                            <w:rPr>
                              <w:rStyle w:val="tevilkastrani"/>
                            </w:rPr>
                            <w:instrText xml:space="preserve"> PAGE </w:instrText>
                          </w:r>
                          <w:r>
                            <w:rPr>
                              <w:rStyle w:val="tevilkastrani"/>
                            </w:rPr>
                            <w:fldChar w:fldCharType="separate"/>
                          </w:r>
                          <w:r w:rsidR="005A2EE0">
                            <w:rPr>
                              <w:rStyle w:val="tevilkastrani"/>
                              <w:noProof/>
                            </w:rPr>
                            <w:t>2</w:t>
                          </w:r>
                          <w:r>
                            <w:rPr>
                              <w:rStyle w:val="tevilkastran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8.85pt;margin-top:.05pt;width:5.4pt;height:12.5pt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" stroked="f">
              <v:fill opacity="0"/>
              <v:textbox inset="0,0,0,0">
                <w:txbxContent>
                  <w:p w:rsidR="00000000" w:rsidRDefault="00047CFF">
                    <w:pPr>
                      <w:pStyle w:val="Noga"/>
                    </w:pPr>
                    <w:r>
                      <w:rPr>
                        <w:rStyle w:val="tevilkastrani"/>
                      </w:rPr>
                      <w:fldChar w:fldCharType="begin"/>
                    </w:r>
                    <w:r>
                      <w:rPr>
                        <w:rStyle w:val="tevilkastrani"/>
                      </w:rPr>
                      <w:instrText xml:space="preserve"> PAGE </w:instrText>
                    </w:r>
                    <w:r>
                      <w:rPr>
                        <w:rStyle w:val="tevilkastrani"/>
                      </w:rPr>
                      <w:fldChar w:fldCharType="separate"/>
                    </w:r>
                    <w:r w:rsidR="005A2EE0">
                      <w:rPr>
                        <w:rStyle w:val="tevilkastrani"/>
                        <w:noProof/>
                      </w:rPr>
                      <w:t>2</w:t>
                    </w:r>
                    <w:r>
                      <w:rPr>
                        <w:rStyle w:val="tevilkastrani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shape>
          </w:pict>
        </mc:Fallback>
      </mc:AlternateContent>
    </w:r>
    <w:r w:rsidR="00047CFF">
      <w:rPr>
        <w:sz w:val="20"/>
      </w:rPr>
      <w:t>K</w:t>
    </w:r>
    <w:r w:rsidR="00047CFF">
      <w:rPr>
        <w:sz w:val="20"/>
      </w:rPr>
      <w:t>ATALOG ZNANJA EKONOMIKA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7CF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CFF" w:rsidRDefault="00047CFF">
      <w:r>
        <w:separator/>
      </w:r>
    </w:p>
  </w:footnote>
  <w:footnote w:type="continuationSeparator" w:id="0">
    <w:p w:rsidR="00047CFF" w:rsidRDefault="00047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7CFF">
    <w:pPr>
      <w:pStyle w:val="Glava"/>
      <w:rPr>
        <w:sz w:val="20"/>
      </w:rPr>
    </w:pPr>
    <w:r>
      <w:rPr>
        <w:sz w:val="20"/>
      </w:rPr>
      <w:t>POKLICNI TEČAJ</w:t>
    </w:r>
  </w:p>
  <w:p w:rsidR="00000000" w:rsidRDefault="00047CFF">
    <w:pPr>
      <w:pStyle w:val="Glava"/>
    </w:pPr>
    <w:r>
      <w:t>ekonomski tehnik /PT/2011</w:t>
    </w:r>
  </w:p>
  <w:p w:rsidR="00000000" w:rsidRDefault="00047CFF">
    <w:pPr>
      <w:pStyle w:val="Glava"/>
    </w:pPr>
    <w:r>
      <w:tab/>
    </w:r>
    <w:r>
      <w:tab/>
    </w:r>
    <w:r>
      <w:tab/>
    </w:r>
    <w:r>
      <w:tab/>
    </w: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047CF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40" w:hanging="34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avade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2EE0"/>
    <w:rsid w:val="00047CFF"/>
    <w:rsid w:val="005A2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8DF66B22-3662-4BC0-B19E-11EA99265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uppressAutoHyphens/>
    </w:pPr>
    <w:rPr>
      <w:sz w:val="22"/>
      <w:lang w:eastAsia="ar-SA"/>
    </w:rPr>
  </w:style>
  <w:style w:type="paragraph" w:styleId="Naslov1">
    <w:name w:val="heading 1"/>
    <w:basedOn w:val="Navaden"/>
    <w:next w:val="Navaden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slov2">
    <w:name w:val="heading 2"/>
    <w:basedOn w:val="Navaden"/>
    <w:next w:val="Navaden"/>
    <w:qFormat/>
    <w:pPr>
      <w:keepNext/>
      <w:numPr>
        <w:ilvl w:val="1"/>
        <w:numId w:val="1"/>
      </w:numPr>
      <w:tabs>
        <w:tab w:val="left" w:pos="227"/>
      </w:tabs>
      <w:spacing w:before="240" w:after="120"/>
      <w:outlineLvl w:val="1"/>
    </w:pPr>
    <w:rPr>
      <w:rFonts w:ascii="Bookman Old Style" w:hAnsi="Bookman Old Style"/>
      <w:b/>
      <w:sz w:val="24"/>
    </w:rPr>
  </w:style>
  <w:style w:type="paragraph" w:styleId="Naslov4">
    <w:name w:val="heading 4"/>
    <w:basedOn w:val="Navaden"/>
    <w:next w:val="Navaden"/>
    <w:qFormat/>
    <w:pPr>
      <w:keepNext/>
      <w:numPr>
        <w:ilvl w:val="3"/>
        <w:numId w:val="1"/>
      </w:numPr>
      <w:spacing w:before="240" w:after="120"/>
      <w:outlineLvl w:val="3"/>
    </w:pPr>
    <w:rPr>
      <w:rFonts w:ascii="Bookman Old Style" w:hAnsi="Bookman Old Style"/>
      <w:b/>
      <w:sz w:val="24"/>
    </w:rPr>
  </w:style>
  <w:style w:type="character" w:default="1" w:styleId="Privzetapisavaodstavka">
    <w:name w:val="Default Paragraph Font"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Privzetapisavaodstavka2">
    <w:name w:val="Privzeta pisava odstavka2"/>
  </w:style>
  <w:style w:type="character" w:customStyle="1" w:styleId="Absatz-Standardschriftart">
    <w:name w:val="Absatz-Standardschriftart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b w:val="0"/>
      <w:i w:val="0"/>
      <w:sz w:val="28"/>
      <w:szCs w:val="28"/>
    </w:rPr>
  </w:style>
  <w:style w:type="character" w:customStyle="1" w:styleId="WW8Num7z2">
    <w:name w:val="WW8Num7z2"/>
    <w:rPr>
      <w:b/>
      <w:i w:val="0"/>
      <w:sz w:val="24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9z0">
    <w:name w:val="WW8Num9z0"/>
    <w:rPr>
      <w:rFonts w:ascii="Symbol" w:hAnsi="Symbol"/>
      <w:color w:val="auto"/>
    </w:rPr>
  </w:style>
  <w:style w:type="character" w:customStyle="1" w:styleId="WW8Num9z1">
    <w:name w:val="WW8Num9z1"/>
    <w:rPr>
      <w:rFonts w:ascii="Courier New" w:hAnsi="Courier New" w:cs="Verdana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b w:val="0"/>
      <w:i w:val="0"/>
      <w:sz w:val="28"/>
      <w:szCs w:val="28"/>
    </w:rPr>
  </w:style>
  <w:style w:type="character" w:customStyle="1" w:styleId="WW8Num10z2">
    <w:name w:val="WW8Num10z2"/>
    <w:rPr>
      <w:b/>
      <w:i w:val="0"/>
      <w:sz w:val="24"/>
    </w:rPr>
  </w:style>
  <w:style w:type="character" w:customStyle="1" w:styleId="WW8Num11z0">
    <w:name w:val="WW8Num11z0"/>
    <w:rPr>
      <w:rFonts w:ascii="Bookman Old Style" w:hAnsi="Bookman Old Style"/>
      <w:b w:val="0"/>
      <w:i w:val="0"/>
      <w:sz w:val="28"/>
      <w:szCs w:val="28"/>
    </w:rPr>
  </w:style>
  <w:style w:type="character" w:customStyle="1" w:styleId="WW8Num11z2">
    <w:name w:val="WW8Num11z2"/>
    <w:rPr>
      <w:rFonts w:ascii="Times New Roman" w:hAnsi="Times New Roman"/>
      <w:b/>
      <w:i w:val="0"/>
      <w:sz w:val="24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 w:cs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Bookman Old Style" w:eastAsia="Times New Roman" w:hAnsi="Bookman Old Style" w:cs="Times New Roman"/>
    </w:rPr>
  </w:style>
  <w:style w:type="character" w:customStyle="1" w:styleId="WW8Num13z1">
    <w:name w:val="WW8Num13z1"/>
    <w:rPr>
      <w:rFonts w:ascii="Courier New" w:hAnsi="Courier New" w:cs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3z3">
    <w:name w:val="WW8Num13z3"/>
    <w:rPr>
      <w:rFonts w:ascii="Symbol" w:hAnsi="Symbol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 w:cs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Privzetapisavaodstavka1">
    <w:name w:val="Privzeta pisava odstavka1"/>
  </w:style>
  <w:style w:type="character" w:customStyle="1" w:styleId="alinea0tabZnak">
    <w:name w:val="alinea_0tab Znak"/>
    <w:basedOn w:val="Privzetapisavaodstavka1"/>
    <w:rPr>
      <w:rFonts w:ascii="Tahoma" w:hAnsi="Tahoma" w:cs="Tahoma"/>
      <w:sz w:val="24"/>
      <w:szCs w:val="24"/>
      <w:lang w:val="sl-SI" w:eastAsia="ar-SA" w:bidi="ar-SA"/>
    </w:rPr>
  </w:style>
  <w:style w:type="character" w:styleId="tevilkastrani">
    <w:name w:val="page number"/>
    <w:basedOn w:val="Privzetapisavaodstavka1"/>
  </w:style>
  <w:style w:type="character" w:customStyle="1" w:styleId="Komentar-sklic1">
    <w:name w:val="Komentar - sklic1"/>
    <w:basedOn w:val="Privzetapisavaodstavka1"/>
    <w:rPr>
      <w:sz w:val="16"/>
      <w:szCs w:val="16"/>
    </w:rPr>
  </w:style>
  <w:style w:type="paragraph" w:customStyle="1" w:styleId="Naslov20">
    <w:name w:val="Naslov2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lobesedila">
    <w:name w:val="Body Text"/>
    <w:basedOn w:val="Navaden"/>
    <w:pPr>
      <w:spacing w:after="120"/>
    </w:pPr>
  </w:style>
  <w:style w:type="paragraph" w:styleId="Seznam">
    <w:name w:val="List"/>
    <w:basedOn w:val="Telobesedila"/>
  </w:style>
  <w:style w:type="paragraph" w:customStyle="1" w:styleId="Napis2">
    <w:name w:val="Napis2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Kazalo">
    <w:name w:val="Kazalo"/>
    <w:basedOn w:val="Navaden"/>
    <w:pPr>
      <w:suppressLineNumbers/>
    </w:pPr>
  </w:style>
  <w:style w:type="paragraph" w:customStyle="1" w:styleId="Naslov10">
    <w:name w:val="Naslov1"/>
    <w:basedOn w:val="Navaden"/>
    <w:next w:val="Telobesedila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Napis1">
    <w:name w:val="Napis1"/>
    <w:basedOn w:val="Navaden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linea0tab">
    <w:name w:val="alinea_0tab"/>
    <w:basedOn w:val="Navaden"/>
    <w:pPr>
      <w:numPr>
        <w:numId w:val="3"/>
      </w:numPr>
      <w:tabs>
        <w:tab w:val="left" w:pos="1395"/>
      </w:tabs>
    </w:pPr>
    <w:rPr>
      <w:rFonts w:ascii="Tahoma" w:hAnsi="Tahoma" w:cs="Tahoma"/>
      <w:sz w:val="24"/>
      <w:szCs w:val="24"/>
      <w:lang w:val="sl-SI"/>
    </w:rPr>
  </w:style>
  <w:style w:type="paragraph" w:customStyle="1" w:styleId="Telobesedila31">
    <w:name w:val="Telo besedila 31"/>
    <w:basedOn w:val="Navaden"/>
    <w:pPr>
      <w:spacing w:after="120"/>
    </w:pPr>
    <w:rPr>
      <w:sz w:val="16"/>
      <w:szCs w:val="16"/>
    </w:rPr>
  </w:style>
  <w:style w:type="paragraph" w:customStyle="1" w:styleId="SlogNaslov1Tahoma12ptPred0ptPo0pt">
    <w:name w:val="Slog Naslov 1 + Tahoma 12 pt Pred:  0 pt Po:  0 pt"/>
    <w:basedOn w:val="Naslov1"/>
    <w:pPr>
      <w:numPr>
        <w:numId w:val="0"/>
      </w:numPr>
      <w:spacing w:before="120" w:after="120"/>
    </w:pPr>
    <w:rPr>
      <w:rFonts w:ascii="Tahoma" w:hAnsi="Tahoma" w:cs="Times New Roman"/>
      <w:caps/>
      <w:sz w:val="24"/>
      <w:szCs w:val="20"/>
    </w:rPr>
  </w:style>
  <w:style w:type="paragraph" w:customStyle="1" w:styleId="SlogNaslov2Tahoma">
    <w:name w:val="Slog Naslov 2 + Tahoma"/>
    <w:basedOn w:val="Naslov2"/>
    <w:pPr>
      <w:numPr>
        <w:ilvl w:val="0"/>
        <w:numId w:val="0"/>
      </w:numPr>
      <w:tabs>
        <w:tab w:val="clear" w:pos="227"/>
      </w:tabs>
    </w:pPr>
    <w:rPr>
      <w:rFonts w:ascii="Tahoma" w:hAnsi="Tahoma"/>
      <w:bCs/>
    </w:rPr>
  </w:style>
  <w:style w:type="paragraph" w:styleId="Glava">
    <w:name w:val="header"/>
    <w:basedOn w:val="Navaden"/>
    <w:pPr>
      <w:tabs>
        <w:tab w:val="center" w:pos="4536"/>
        <w:tab w:val="right" w:pos="9072"/>
      </w:tabs>
    </w:pPr>
  </w:style>
  <w:style w:type="paragraph" w:styleId="Noga">
    <w:name w:val="footer"/>
    <w:basedOn w:val="Navaden"/>
    <w:pPr>
      <w:tabs>
        <w:tab w:val="center" w:pos="4536"/>
        <w:tab w:val="right" w:pos="9072"/>
      </w:tabs>
    </w:pPr>
  </w:style>
  <w:style w:type="paragraph" w:customStyle="1" w:styleId="Komentar-besedilo1">
    <w:name w:val="Komentar - besedilo1"/>
    <w:basedOn w:val="Navaden"/>
    <w:rPr>
      <w:sz w:val="20"/>
    </w:rPr>
  </w:style>
  <w:style w:type="paragraph" w:customStyle="1" w:styleId="Zadevakomentarja">
    <w:name w:val="Zadeva komentarja"/>
    <w:basedOn w:val="Komentar-besedilo1"/>
    <w:next w:val="Komentar-besedilo1"/>
    <w:rPr>
      <w:b/>
      <w:bCs/>
    </w:rPr>
  </w:style>
  <w:style w:type="paragraph" w:styleId="Besedilooblaka">
    <w:name w:val="Balloon Text"/>
    <w:basedOn w:val="Navaden"/>
    <w:rPr>
      <w:rFonts w:ascii="Tahoma" w:hAnsi="Tahoma" w:cs="Tahoma"/>
      <w:sz w:val="16"/>
      <w:szCs w:val="16"/>
    </w:rPr>
  </w:style>
  <w:style w:type="paragraph" w:customStyle="1" w:styleId="Vsebinatabele">
    <w:name w:val="Vsebina tabele"/>
    <w:basedOn w:val="Navaden"/>
    <w:pPr>
      <w:suppressLineNumbers/>
    </w:pPr>
  </w:style>
  <w:style w:type="paragraph" w:customStyle="1" w:styleId="Naslovtabele">
    <w:name w:val="Naslov tabele"/>
    <w:basedOn w:val="Vsebinatabele"/>
    <w:pPr>
      <w:jc w:val="center"/>
    </w:pPr>
    <w:rPr>
      <w:b/>
      <w:bCs/>
    </w:rPr>
  </w:style>
  <w:style w:type="paragraph" w:customStyle="1" w:styleId="Vsebinaokvira">
    <w:name w:val="Vsebina okvira"/>
    <w:basedOn w:val="Telobesedil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3</vt:lpstr>
    </vt:vector>
  </TitlesOfParts>
  <Company>CPI</Company>
  <LinksUpToDate>false</LinksUpToDate>
  <CharactersWithSpaces>3914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</dc:title>
  <dc:subject/>
  <dc:creator>marijas</dc:creator>
  <cp:keywords/>
  <cp:lastModifiedBy>Vida Navse</cp:lastModifiedBy>
  <cp:revision>2</cp:revision>
  <cp:lastPrinted>2009-10-21T05:30:00Z</cp:lastPrinted>
  <dcterms:created xsi:type="dcterms:W3CDTF">2020-08-17T05:58:00Z</dcterms:created>
  <dcterms:modified xsi:type="dcterms:W3CDTF">2020-08-17T05:58:00Z</dcterms:modified>
</cp:coreProperties>
</file>